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7067" w14:textId="77777777" w:rsidR="0024392E" w:rsidRPr="0024392E" w:rsidRDefault="0024392E" w:rsidP="0024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ІНСТРУКЦІЯ</w:t>
      </w:r>
    </w:p>
    <w:p w14:paraId="69CCDD28" w14:textId="77777777" w:rsidR="0024392E" w:rsidRPr="0024392E" w:rsidRDefault="0024392E" w:rsidP="0024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 медичного застосування лікарського засобу</w:t>
      </w:r>
    </w:p>
    <w:p w14:paraId="734D3B25" w14:textId="77777777" w:rsidR="0024392E" w:rsidRPr="0024392E" w:rsidRDefault="0024392E" w:rsidP="0024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4E2DEB1" w14:textId="77777777" w:rsidR="0024392E" w:rsidRPr="0024392E" w:rsidRDefault="0024392E" w:rsidP="0024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439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СКІНОРЕН</w:t>
      </w:r>
      <w:r w:rsidRPr="0024392E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val="uk-UA"/>
        </w:rPr>
        <w:t>®</w:t>
      </w:r>
    </w:p>
    <w:p w14:paraId="3E862E01" w14:textId="77777777" w:rsidR="0024392E" w:rsidRPr="0024392E" w:rsidRDefault="0024392E" w:rsidP="0024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439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(SKINOREN</w:t>
      </w:r>
      <w:r w:rsidRPr="0024392E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val="uk-UA"/>
        </w:rPr>
        <w:t>®</w:t>
      </w:r>
      <w:r w:rsidRPr="002439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3C9FA00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2CAE0D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Склад:</w:t>
      </w:r>
    </w:p>
    <w:p w14:paraId="4C20901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діюча речовина:</w:t>
      </w:r>
      <w:r w:rsidRPr="0024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мікронізована</w:t>
      </w:r>
      <w:proofErr w:type="spellEnd"/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кислота;</w:t>
      </w:r>
    </w:p>
    <w:p w14:paraId="1843AE9A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1 г крему містить 0,2 г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мікронізованої</w:t>
      </w:r>
      <w:proofErr w:type="spellEnd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кислоти;</w:t>
      </w:r>
    </w:p>
    <w:p w14:paraId="778DF5E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допоміжні речовини:</w:t>
      </w:r>
      <w:r w:rsidRPr="0024392E">
        <w:rPr>
          <w:rFonts w:ascii="Calibri" w:eastAsia="Calibri" w:hAnsi="Calibri" w:cs="Times New Roman"/>
          <w:lang w:val="uk-UA"/>
        </w:rPr>
        <w:t xml:space="preserve"> 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кислота бензойна (E 210),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cтеарилмакроголгліцериди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Kутина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CBS (суміш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моно-дигліцеридів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жирних кислот,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тригліцеридів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восковий ефір),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цетеарилоктаноат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пропіленгліколь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 гліцерин 85 %, вода очищена.</w:t>
      </w:r>
    </w:p>
    <w:p w14:paraId="1C2076D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7BE5C2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Лікарська форма. </w:t>
      </w:r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Крем. </w:t>
      </w:r>
    </w:p>
    <w:p w14:paraId="4029FA2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Основні фізико-хімічні властивості:</w:t>
      </w:r>
      <w:r w:rsidRPr="0024392E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24392E">
        <w:rPr>
          <w:rFonts w:ascii="Times New Roman" w:eastAsia="Times New Roman" w:hAnsi="Times New Roman" w:cs="Times New Roman"/>
          <w:sz w:val="24"/>
          <w:szCs w:val="24"/>
          <w:lang w:val="uk-UA"/>
        </w:rPr>
        <w:t>білий непрозорий крем.</w:t>
      </w:r>
    </w:p>
    <w:p w14:paraId="256F5AC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F95FC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Фармакотерапевтична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група.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Місцеві засоби для лікування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акне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8DB2715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Код АТХ D10A X03.</w:t>
      </w:r>
    </w:p>
    <w:p w14:paraId="3A7744C5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C9601E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Фармакологічні властивості.</w:t>
      </w:r>
    </w:p>
    <w:p w14:paraId="71D2ACB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Фармакодинаміка</w:t>
      </w:r>
      <w:proofErr w:type="spellEnd"/>
    </w:p>
    <w:p w14:paraId="3A38C71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кислота, діюча речовина крему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−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прямоланцюгова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дикарбонова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кислота, яка, будучи наявною в природі, не має токсичності,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тератогенності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мутагенності.</w:t>
      </w:r>
    </w:p>
    <w:p w14:paraId="2F3B8D4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Вважається, що терапевтичну ефективність крему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при лікуванні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акне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зумовлюють його антимікробна дія та безпосередній вплив на фолікулярний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гіперкератоз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Клінічно спостерігається значне зниження щільності колонізації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Propionibacterium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acnes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і суттєве зменшення фракції вільних жирних кислот у ліпідах поверхні шкіри.</w:t>
      </w:r>
    </w:p>
    <w:p w14:paraId="1AA70222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кислота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in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vitro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in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vivo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інгібує проліферацію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кератиноцитів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нормалізує порушені при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акне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процеси термінального диференціювання епідермісу. На моделі вуха кролика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кислота прискорює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комедолізис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тетрадеканіндукованих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комедонів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14:paraId="14098E1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При концентрації 0,31−2,5 % після тривалого контакту протягом 30−120 хвилин проявляється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біоцидна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дія проти грампозитивних та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грамнегативних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аеробних бактерій, анаеробних бактерій та грибів.</w:t>
      </w:r>
    </w:p>
    <w:p w14:paraId="4D9C197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Дослідження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in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vitro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не продемонстрували наявності мутантних форм, стійких до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кислоти, ані у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Staphylococcus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epidermidis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ані у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Propionibacterium</w:t>
      </w:r>
      <w:proofErr w:type="spellEnd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acnes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14:paraId="7889A44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Фармакокінетика.</w:t>
      </w:r>
    </w:p>
    <w:p w14:paraId="5370EF0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Після нанесення крему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кислота проникає в усі шари шкіри людини. Проникнення відбувається з більшою швидкістю через уражену шкіру, ніж через неушкоджену. Після одноразового нанесення на поверхню шкіри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 (у вигляді 5 г крему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) підшкірно адсорбується 3,6 % нанесеної дози.</w:t>
      </w:r>
    </w:p>
    <w:p w14:paraId="2E8F6784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Метаболізм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 вивчався після перорального прийому в дозах до 5 г.</w:t>
      </w:r>
    </w:p>
    <w:p w14:paraId="4E8309B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Частина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кислоти, адсорбованої через шкіру,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екскретується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з сечею у незмінному вигляді. Інша частина розпадається шляхом β-окиснення на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дикарбонові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 з коротшою довжиною ланцюга (С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uk-UA" w:eastAsia="ru-RU"/>
        </w:rPr>
        <w:t>7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 С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uk-UA" w:eastAsia="ru-RU"/>
        </w:rPr>
        <w:t>5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), що також були виявлені у сечі.</w:t>
      </w:r>
    </w:p>
    <w:p w14:paraId="1418BEB9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Дослідження системної переносимості після повторного перорального та зовнішнього застосування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кислоти не виявили жодних ознак того, що навіть в екстремальних умовах, наприклад, при нанесенні на велику площу та/або під </w:t>
      </w:r>
      <w:proofErr w:type="spellStart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оклюзійні</w:t>
      </w:r>
      <w:proofErr w:type="spellEnd"/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пов’язки, можна очікувати розвитку побічних ефектів.</w:t>
      </w:r>
    </w:p>
    <w:p w14:paraId="145981BF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14:paraId="48D33B4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Клінічні характеристики.</w:t>
      </w:r>
      <w:r w:rsidRPr="0024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14:paraId="6A94EF4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Показання.</w:t>
      </w:r>
    </w:p>
    <w:p w14:paraId="6EAD29C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Лікування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акне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(вугрів звичайних), що характеризується наявністю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комедонів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папул, пустул і маленьких вузликів.</w:t>
      </w:r>
    </w:p>
    <w:p w14:paraId="042871B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14:paraId="1EA02D3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Протипоказання.</w:t>
      </w:r>
    </w:p>
    <w:p w14:paraId="01F34A6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Гіперчутливість до діючої речовини або до будь-якої з допоміжних речовин препарату.</w:t>
      </w:r>
    </w:p>
    <w:p w14:paraId="6D795C4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14:paraId="63D6F9D9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Взаємодія з іншими лікарськими засобами та інші види вза</w:t>
      </w:r>
      <w:r w:rsidRPr="0024392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ємодій.</w:t>
      </w:r>
    </w:p>
    <w:p w14:paraId="493BDEC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Дослідження взаємодії не проводилися. </w:t>
      </w:r>
    </w:p>
    <w:p w14:paraId="18DDAC05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0B1CF2B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Особливості застосування.</w:t>
      </w:r>
    </w:p>
    <w:p w14:paraId="70991BF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Тільки для зовнішнього застосування. </w:t>
      </w:r>
    </w:p>
    <w:p w14:paraId="3CD2D4B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Не допускайте потрапляння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 очі, ротову порожнину або на слизові оболонки. Якщо крем випадково потрапив в очі, ротову порожнину та/або на слизові оболонки, негайно слід промити їх великою кількістю води. Якщо подразнення очей триває, рекомендується звернутися до лікаря. Після кожного нанесення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потрібно вимити руки.</w:t>
      </w:r>
    </w:p>
    <w:p w14:paraId="7F37E97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Супутнє застосування косметичних продуктів, спиртових або агресивних засобів для очищення шкіри, настоянок, в</w:t>
      </w:r>
      <w:r w:rsidRPr="0024392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’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яжучих або абразивних речовин чи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відлущувальних</w:t>
      </w:r>
      <w:proofErr w:type="spellEnd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засобів слід обмежити під час лікування, наскільки це можливо.</w:t>
      </w:r>
    </w:p>
    <w:p w14:paraId="1F046AC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Бензойна кислота спричиняє помірне подразнення шкіри, очей та слизових оболонок.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Пропіленгліколь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може також спричиняти подразнення шкіри.</w:t>
      </w:r>
    </w:p>
    <w:p w14:paraId="0781012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рідкісних випадках під час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післяреєстраційного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нагляду повідомлялося про загострення бронхіальної астми у пацієнтів, які отримували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азелаїнову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кислоту (</w:t>
      </w:r>
      <w:bookmarkStart w:id="0" w:name="_Hlk43303079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див. розділ «</w:t>
      </w:r>
      <w:r w:rsidRPr="00243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Побічні реакції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bookmarkEnd w:id="0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14:paraId="7B16ED9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9A6B12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Застосування у період вагітності або годування груддю.</w:t>
      </w:r>
    </w:p>
    <w:p w14:paraId="4AE7B8A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Вагітність</w:t>
      </w:r>
    </w:p>
    <w:p w14:paraId="36A4C0E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 проводилося належних і добре контрольованих досліджень препаратів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кислоти для зовнішнього застосування за участю вагітних жінок.</w:t>
      </w:r>
    </w:p>
    <w:p w14:paraId="698A3C8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Дослідження на тваринах свідчать про можливий вплив на перебіг вагітності, розвиток ембріона/плода, пологи або постнатальний розвиток. Однак під час досліджень на тваринах застосування доз, які в 3−32 рази перевищували максимальну рекомендовану дозу для людини, розраховану відповідно до поверхні тіла, жодних небажаних ефектів не спостерігалося.</w:t>
      </w:r>
    </w:p>
    <w:p w14:paraId="77401D1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Вагітним жінкам слід з обережністю призначати крем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1A901B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Годування груддю</w:t>
      </w:r>
    </w:p>
    <w:p w14:paraId="7BB3241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Невідомо, чи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секретується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кислота у грудне молоко людини</w:t>
      </w: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in</w:t>
      </w:r>
      <w:proofErr w:type="spellEnd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vivo</w:t>
      </w:r>
      <w:proofErr w:type="spellEnd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Однак експеримент </w:t>
      </w:r>
      <w:proofErr w:type="spellStart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in</w:t>
      </w:r>
      <w:proofErr w:type="spellEnd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vitro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використанням методу рівноважного діалізу продемонстрував, що можливе потрапляння діючої речовини у грудне молоко. Розподіл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кислоти у грудному молоці не може призвести до значних змін відносно її базового рівня, що уже наявний в молоці, оскільки вона не концентрується у грудному молоці та менше ніж 4 %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топічно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нанесеної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кислоти всмоктується системно, не збільшуючи при цьому ендогенну експозицію вказаної речовини вище фізіологічного рівня. Однак жінкам, які годують груддю, слід з обережністю застосовувати крем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 </w:t>
      </w:r>
    </w:p>
    <w:p w14:paraId="227C6E22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Слід уникати контактів немовляти зі шкірою/груддю, обробленою лікарським засобом.</w:t>
      </w:r>
    </w:p>
    <w:p w14:paraId="1A99D7D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Фертильність</w:t>
      </w:r>
    </w:p>
    <w:p w14:paraId="1AFACDA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Наявних даних стосовно впливу крему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фертильність людини немає. Результати, отримані під час досліджень на тваринах, не виявили впливу на фертильність самців або самиць щурів.</w:t>
      </w:r>
    </w:p>
    <w:p w14:paraId="22B0DC2F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FBC05A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Здатність впливати на швидкість реакції при керуванні автотранспортом або іншими механізмами.</w:t>
      </w:r>
    </w:p>
    <w:p w14:paraId="560F2F42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Азелаїнова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кислота не чинить жодного впливу на швидкість реакції при керуванні автотранспортом або роботі з іншими механізмами.</w:t>
      </w:r>
    </w:p>
    <w:p w14:paraId="1F94ECD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2F4EC33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Спосіб застосування та дози.</w:t>
      </w:r>
    </w:p>
    <w:p w14:paraId="7BA48114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нашкірного застосування.</w:t>
      </w:r>
    </w:p>
    <w:p w14:paraId="70F8C384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Крем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2 рази на добу (вранці та ввечері) наносити на уражені ділянки шкіри і м’яко втирати масажними рухами. Приблизно 2,5 см крему достатньо для всієї поверхні обличчя. Перед застосуванням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шкіру слід ретельно промити водою та висушити. Також можна використати м’який косметичний засіб для очищення шкіри. </w:t>
      </w:r>
    </w:p>
    <w:p w14:paraId="1271847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Важливим є регулярне застосування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протягом усього курсу лікування.</w:t>
      </w:r>
    </w:p>
    <w:p w14:paraId="27F44152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Тривалість курсу лікування може змінюватися залежно від індивідуального перебігу захворювання і визначається ступенем його вираженості.</w:t>
      </w:r>
    </w:p>
    <w:p w14:paraId="607AAA1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Для досягнення оптимального результату рекомендується застосовувати лікарський засіб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безперервно протягом кількох місяців. Існує клінічний досвід безперервного застосування лікарського засобу впродовж періоду до 1 року. У пацієнтів із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акне</w:t>
      </w:r>
      <w:proofErr w:type="spellEnd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відчутне покращення спостерігається, як правило, приблизно через 4 тижні.</w:t>
      </w:r>
    </w:p>
    <w:p w14:paraId="5CDB791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У разі надмірного подразнення шкіри (див. розділ «</w:t>
      </w: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Побічні реакції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») слід зменшити  кількість крему для нанесення або частоту застосування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до 1 разу на добу аж до зникнення подразнення. При необхідності терапію можна тимчасово перервати на кілька днів. Після короткого періоду лікування без помітних результатів необхідна повторна медична оцінка.</w:t>
      </w:r>
    </w:p>
    <w:p w14:paraId="6AC1273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14:paraId="0F0979B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Пацієнти літнього віку.</w:t>
      </w:r>
    </w:p>
    <w:p w14:paraId="798F1F1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Спеціальні дослідження застосування лікарського засобу пацієнтам віком від 65 років не проводилися. </w:t>
      </w:r>
    </w:p>
    <w:p w14:paraId="02A7DB39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7C91B98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Пацієнти з порушеннями функції печінки.</w:t>
      </w:r>
    </w:p>
    <w:p w14:paraId="7D8837A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Спеціальні дослідження застосування лікарського засобу пацієнтам з порушеннями функції печінки не проводилися. </w:t>
      </w:r>
    </w:p>
    <w:p w14:paraId="6DCB117F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226B38A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Пацієнти з порушеннями функції нирок.</w:t>
      </w:r>
    </w:p>
    <w:p w14:paraId="066896AA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Спеціальні дослідження застосування лікарського засобу пацієнтам із порушеннями функції нирок не проводилися. </w:t>
      </w:r>
    </w:p>
    <w:p w14:paraId="7568BC3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4E0A711C" w14:textId="77777777" w:rsidR="0024392E" w:rsidRPr="0024392E" w:rsidRDefault="0024392E" w:rsidP="0024392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24392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Діти.</w:t>
      </w:r>
      <w:r w:rsidRPr="0024392E">
        <w:rPr>
          <w:rFonts w:ascii="Calibri" w:eastAsia="Calibri" w:hAnsi="Calibri" w:cs="Times New Roman"/>
          <w:lang w:val="uk-UA"/>
        </w:rPr>
        <w:t xml:space="preserve"> </w:t>
      </w:r>
    </w:p>
    <w:p w14:paraId="01A2303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24392E">
        <w:rPr>
          <w:rFonts w:ascii="Times New Roman" w:eastAsia="Calibri" w:hAnsi="Times New Roman" w:cs="Times New Roman"/>
          <w:sz w:val="24"/>
          <w:szCs w:val="24"/>
          <w:lang w:val="uk-UA"/>
        </w:rPr>
        <w:t>Лікарський засіб можна з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астосовувати підліткам віком від 12 років. Немає необхідності у корекції дози при призначенні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підліткам віком від 12 років. Безпека та ефективність застосування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дітям віком до 12 років не встановлені</w:t>
      </w:r>
      <w:r w:rsidRPr="002439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14:paraId="462171A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0C12A15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Передозування.</w:t>
      </w:r>
    </w:p>
    <w:p w14:paraId="41C43AF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Через дуже низьку локальну та системну токсичність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азелаїнової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кислоти інтоксикація цією речовиною малоймовірна.</w:t>
      </w:r>
    </w:p>
    <w:p w14:paraId="201787C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41BF9F0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Побічні реакції.</w:t>
      </w:r>
    </w:p>
    <w:p w14:paraId="6F45887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клінічних дослідженнях і під час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післяреєстраційного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нагляду побічні реакції, що відзначалися найчастіше, включали печіння, свербіж та еритему у ділянці застосування.</w:t>
      </w:r>
    </w:p>
    <w:p w14:paraId="59904545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Побічні реакції, що спостерігалися під час клінічних досліджень, наведено у таблиці за частотою виникнення згідно з класифікацією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MedDRA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14:paraId="0EBE496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дуже часто (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sym w:font="Symbol" w:char="F0B3"/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1/10);</w:t>
      </w:r>
    </w:p>
    <w:p w14:paraId="3512A60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часто (від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sym w:font="Symbol" w:char="F0B3"/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1/100 до &lt;1/10);</w:t>
      </w:r>
    </w:p>
    <w:p w14:paraId="2777F119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нечасто (від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sym w:font="Symbol" w:char="F0B3"/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1/1000 до &lt;1/100);</w:t>
      </w:r>
    </w:p>
    <w:p w14:paraId="3F691969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рідкісні (від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sym w:font="Symbol" w:char="F0B3"/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1/10000 до &lt;1/1000);</w:t>
      </w:r>
    </w:p>
    <w:p w14:paraId="3E009601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дуже рідкісні (&lt;1/10000), частота невідома (не може бути оцінена на підставі наявних даних).</w:t>
      </w:r>
    </w:p>
    <w:p w14:paraId="37877B6E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820"/>
        <w:gridCol w:w="1739"/>
        <w:gridCol w:w="1799"/>
        <w:gridCol w:w="2105"/>
      </w:tblGrid>
      <w:tr w:rsidR="0024392E" w:rsidRPr="0024392E" w14:paraId="659CD59B" w14:textId="77777777" w:rsidTr="0024392E">
        <w:trPr>
          <w:trHeight w:val="1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758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Система органів/ клас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B9C0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Дуже часто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B1D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Часто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2280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Нечасто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F9B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Рідкісні</w:t>
            </w:r>
          </w:p>
        </w:tc>
      </w:tr>
      <w:tr w:rsidR="0024392E" w:rsidRPr="0024392E" w14:paraId="035438C5" w14:textId="77777777" w:rsidTr="0024392E">
        <w:trPr>
          <w:trHeight w:val="13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9584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 боку шкіри та підшкірної клітковини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C9B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67A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8CF0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Себорея, </w:t>
            </w:r>
            <w:proofErr w:type="spellStart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акне</w:t>
            </w:r>
            <w:proofErr w:type="spellEnd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депігментація шкіри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C21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</w:pPr>
            <w:proofErr w:type="spellStart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Хейліт</w:t>
            </w:r>
            <w:proofErr w:type="spellEnd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(запалення губ), кропив’янка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висипання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</w:p>
        </w:tc>
      </w:tr>
      <w:tr w:rsidR="0024392E" w:rsidRPr="0024392E" w14:paraId="0BC79B28" w14:textId="77777777" w:rsidTr="0024392E">
        <w:trPr>
          <w:trHeight w:val="13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BAE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Загальні розлади та реакції в місці застосування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524E" w14:textId="77777777" w:rsidR="0024392E" w:rsidRPr="0024392E" w:rsidRDefault="0024392E" w:rsidP="002439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Відчуття печіння, свербіж та еритема у місці застосування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60FD" w14:textId="77777777" w:rsidR="0024392E" w:rsidRPr="0024392E" w:rsidRDefault="0024392E" w:rsidP="002439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Лущення, біль, сухість, знебарвлення шкіри та подразнення у місці застосування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9DE7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Парестезія,  дерматит, дискомфорт та набряк у місці застосування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882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Пухирі, екзема,  відчуття тепла,  та виразка у місці застосування </w:t>
            </w:r>
          </w:p>
        </w:tc>
      </w:tr>
      <w:tr w:rsidR="0024392E" w:rsidRPr="0024392E" w14:paraId="2E029BD1" w14:textId="77777777" w:rsidTr="0024392E">
        <w:trPr>
          <w:trHeight w:val="13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FE8A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Розлади з боку імунної системи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FAA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B0D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9F3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C3B" w14:textId="77777777" w:rsidR="0024392E" w:rsidRPr="0024392E" w:rsidRDefault="0024392E" w:rsidP="0024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Гіперчутливість (включаючи </w:t>
            </w:r>
            <w:proofErr w:type="spellStart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ангіоневротичний</w:t>
            </w:r>
            <w:proofErr w:type="spellEnd"/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набряк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контактний дерматит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набряк очей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набряк обличчя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 та загострення бронхіальної астми (див. розділ «</w:t>
            </w:r>
            <w:r w:rsidRPr="002439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Особливості застосування»</w:t>
            </w:r>
            <w:r w:rsidRPr="0024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</w:tr>
    </w:tbl>
    <w:p w14:paraId="3520663C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ru-RU"/>
        </w:rPr>
        <w:t>1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Ці додаткові побічні реакції були виявлені під час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післяреєстраційного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застосування крему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Скінорен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ru-RU"/>
        </w:rPr>
        <w:t>®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6FEE65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Зазвичай місцеві подразнення шкіри минають протягом курсу лікування. </w:t>
      </w:r>
    </w:p>
    <w:p w14:paraId="6BD64EB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 xml:space="preserve">Діти </w:t>
      </w:r>
    </w:p>
    <w:p w14:paraId="1796E9E0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клінічних дослідженнях з участю дітей та підлітків віком від 12 до 18 років (454/1336; 34 %) місцева переносимість була подібною до переносимості у дорослих пацієнтів.</w:t>
      </w:r>
    </w:p>
    <w:p w14:paraId="1396E1C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1E5FAFD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3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Термін придатності.</w:t>
      </w:r>
      <w:r w:rsidRPr="0024392E">
        <w:rPr>
          <w:rFonts w:ascii="Calibri" w:eastAsia="Calibri" w:hAnsi="Calibri" w:cs="Times New Roman"/>
          <w:lang w:val="uk-UA"/>
        </w:rPr>
        <w:t xml:space="preserve"> </w:t>
      </w:r>
      <w:r w:rsidRPr="0024392E">
        <w:rPr>
          <w:rFonts w:ascii="Times New Roman" w:eastAsia="Calibri" w:hAnsi="Times New Roman" w:cs="Times New Roman"/>
          <w:sz w:val="24"/>
          <w:szCs w:val="24"/>
          <w:lang w:val="uk-UA"/>
        </w:rPr>
        <w:t>3 роки.</w:t>
      </w:r>
    </w:p>
    <w:p w14:paraId="57E96ED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 першого відкриття термін зберігання становить 6 місяців.</w:t>
      </w:r>
    </w:p>
    <w:p w14:paraId="314E46F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230513D3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Умови зберігання.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Зберігати при температурі не вище 30 ºС у недоступному для дітей місці. </w:t>
      </w:r>
    </w:p>
    <w:p w14:paraId="14D651EF" w14:textId="77777777" w:rsidR="0024392E" w:rsidRPr="0024392E" w:rsidRDefault="0024392E" w:rsidP="00243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11EDDA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Упаковка. </w:t>
      </w: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 30 г у тубі, по 1 тубі у картонній коробці.</w:t>
      </w:r>
    </w:p>
    <w:p w14:paraId="33DEAE9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0DCD45D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Категорія відпуску.</w:t>
      </w:r>
      <w:r w:rsidRPr="0024392E">
        <w:rPr>
          <w:rFonts w:ascii="Calibri" w:eastAsia="Calibri" w:hAnsi="Calibri" w:cs="Times New Roman"/>
          <w:lang w:val="uk-UA"/>
        </w:rPr>
        <w:t xml:space="preserve"> </w:t>
      </w:r>
      <w:r w:rsidRPr="0024392E">
        <w:rPr>
          <w:rFonts w:ascii="Times New Roman" w:eastAsia="Calibri" w:hAnsi="Times New Roman" w:cs="Times New Roman"/>
          <w:sz w:val="24"/>
          <w:szCs w:val="24"/>
          <w:lang w:val="uk-UA"/>
        </w:rPr>
        <w:t>Без рецепта.</w:t>
      </w:r>
    </w:p>
    <w:p w14:paraId="32CBB0C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B499697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Виробник.</w:t>
      </w:r>
    </w:p>
    <w:p w14:paraId="6122EB18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ЛЕО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Фарма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Мануфактурінг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Італі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СРЛ.</w:t>
      </w:r>
    </w:p>
    <w:p w14:paraId="13A1DDC6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3C5B78B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39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Місцезнаходження виробника та адреса місця провадження його діяльності.</w:t>
      </w:r>
    </w:p>
    <w:p w14:paraId="131F1555" w14:textId="77777777" w:rsidR="0024392E" w:rsidRPr="0024392E" w:rsidRDefault="0024392E" w:rsidP="00243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Віа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Е.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Шерінг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21, 20090 </w:t>
      </w:r>
      <w:proofErr w:type="spellStart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Сеграте</w:t>
      </w:r>
      <w:proofErr w:type="spellEnd"/>
      <w:r w:rsidRPr="002439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(МІ), Італія.</w:t>
      </w:r>
    </w:p>
    <w:p w14:paraId="5C757B03" w14:textId="77777777" w:rsidR="003D4C5B" w:rsidRPr="0024392E" w:rsidRDefault="003D4C5B">
      <w:pPr>
        <w:rPr>
          <w:lang w:val="uk-UA"/>
        </w:rPr>
      </w:pPr>
    </w:p>
    <w:sectPr w:rsidR="003D4C5B" w:rsidRPr="0024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2E"/>
    <w:rsid w:val="0024392E"/>
    <w:rsid w:val="003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A0D9"/>
  <w15:chartTrackingRefBased/>
  <w15:docId w15:val="{0BDC6652-92D2-4F98-9313-ACAA2FF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Manucharyan</dc:creator>
  <cp:keywords/>
  <dc:description/>
  <cp:lastModifiedBy>Sofiya Manucharyan</cp:lastModifiedBy>
  <cp:revision>1</cp:revision>
  <dcterms:created xsi:type="dcterms:W3CDTF">2021-10-28T07:26:00Z</dcterms:created>
  <dcterms:modified xsi:type="dcterms:W3CDTF">2021-10-28T07:28:00Z</dcterms:modified>
</cp:coreProperties>
</file>